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647DE">
              <w:rPr>
                <w:rFonts w:ascii="Times New Roman" w:hAnsi="Times New Roman"/>
                <w:b/>
              </w:rPr>
              <w:t>п</w:t>
            </w:r>
            <w:proofErr w:type="gramEnd"/>
            <w:r w:rsidRPr="00C647D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4E55F9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администрации Ясенковского сельского поселения № 54 от 19.10.2015г.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</w:t>
            </w:r>
            <w:proofErr w:type="spellStart"/>
            <w:r w:rsidRPr="00C647DE">
              <w:rPr>
                <w:rFonts w:ascii="Times New Roman" w:hAnsi="Times New Roman"/>
              </w:rPr>
              <w:t>подуслуг</w:t>
            </w:r>
            <w:proofErr w:type="spellEnd"/>
            <w:r w:rsidRPr="00C647DE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4E55F9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bookmarkStart w:id="1" w:name="_GoBack"/>
            <w:bookmarkEnd w:id="1"/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ставл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сту нахожд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C647DE">
              <w:rPr>
                <w:rFonts w:ascii="Times New Roman" w:hAnsi="Times New Roman"/>
                <w:b/>
              </w:rPr>
              <w:t>юр</w:t>
            </w:r>
            <w:proofErr w:type="gramStart"/>
            <w:r w:rsidRPr="00C647DE">
              <w:rPr>
                <w:rFonts w:ascii="Times New Roman" w:hAnsi="Times New Roman"/>
                <w:b/>
              </w:rPr>
              <w:t>.л</w:t>
            </w:r>
            <w:proofErr w:type="gramEnd"/>
            <w:r w:rsidRPr="00C647DE">
              <w:rPr>
                <w:rFonts w:ascii="Times New Roman" w:hAnsi="Times New Roman"/>
                <w:b/>
              </w:rPr>
              <w:t>ица</w:t>
            </w:r>
            <w:proofErr w:type="spellEnd"/>
            <w:r w:rsidRPr="00C647D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утверждена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рый предстоит образовать, не может быть предоставлен заявителю по основаниям,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пунктах 1 - 13, 15 - 19, 22 и 23 статьи 39.16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дастре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мости», не 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жет быть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 основан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</w:t>
            </w:r>
            <w:proofErr w:type="gramStart"/>
            <w:r w:rsidRPr="00C647DE">
              <w:rPr>
                <w:rFonts w:ascii="Times New Roman" w:hAnsi="Times New Roman"/>
              </w:rPr>
              <w:t>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</w:t>
            </w:r>
            <w:r w:rsidR="00702526" w:rsidRPr="00C647DE">
              <w:rPr>
                <w:rFonts w:ascii="Times New Roman" w:hAnsi="Times New Roman"/>
              </w:rPr>
              <w:t>:</w:t>
            </w:r>
            <w:proofErr w:type="gramEnd"/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lastRenderedPageBreak/>
              <w:t>мещенного на 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Исчерпыв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ющий пер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подтвержд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ющему право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от имени заявителя</w:t>
            </w:r>
            <w:proofErr w:type="gramStart"/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54063"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54063"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предусмотренным пунктом 2 статьи 39.3, 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тьей 39.5, пунктом 2 статьи 39.6 или пунктом 2 статьи </w:t>
            </w:r>
            <w:r w:rsidRPr="00C647DE">
              <w:rPr>
                <w:rFonts w:ascii="Times New Roman" w:hAnsi="Times New Roman"/>
              </w:rPr>
              <w:lastRenderedPageBreak/>
              <w:t xml:space="preserve">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кадастровый номер земельного участка, </w:t>
            </w:r>
            <w:proofErr w:type="gramStart"/>
            <w:r w:rsidRPr="00C647DE">
              <w:rPr>
                <w:rFonts w:ascii="Times New Roman" w:hAnsi="Times New Roman"/>
              </w:rPr>
              <w:t>заявление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кадастре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емого земельного участка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  <w:proofErr w:type="gramEnd"/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 xml:space="preserve">ственных или муниципальных </w:t>
            </w:r>
            <w:r w:rsidRPr="00C647DE">
              <w:rPr>
                <w:rFonts w:ascii="Times New Roman" w:hAnsi="Times New Roman"/>
              </w:rPr>
              <w:lastRenderedPageBreak/>
              <w:t>ну</w:t>
            </w:r>
            <w:proofErr w:type="gramStart"/>
            <w:r w:rsidRPr="00C647DE">
              <w:rPr>
                <w:rFonts w:ascii="Times New Roman" w:hAnsi="Times New Roman"/>
              </w:rPr>
              <w:t>жд в сл</w:t>
            </w:r>
            <w:proofErr w:type="gramEnd"/>
            <w:r w:rsidRPr="00C647DE">
              <w:rPr>
                <w:rFonts w:ascii="Times New Roman" w:hAnsi="Times New Roman"/>
              </w:rPr>
              <w:t>учае, если земельный участок предоставляется взамен земельного участка, изымаемого для государственных или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 xml:space="preserve">тов, предусмотренных </w:t>
            </w:r>
            <w:proofErr w:type="gramStart"/>
            <w:r w:rsidRPr="00C647DE">
              <w:rPr>
                <w:rFonts w:ascii="Times New Roman" w:hAnsi="Times New Roman"/>
              </w:rPr>
              <w:t>указанными</w:t>
            </w:r>
            <w:proofErr w:type="gramEnd"/>
            <w:r w:rsidRPr="00C647DE">
              <w:rPr>
                <w:rFonts w:ascii="Times New Roman" w:hAnsi="Times New Roman"/>
              </w:rPr>
              <w:t xml:space="preserve">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твержд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lastRenderedPageBreak/>
              <w:t>зации о приобретении земельного участка, 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Едином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реестре прав на недвижимое имущество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10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ние, если право на такое здание,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</w:t>
            </w:r>
            <w:proofErr w:type="gramStart"/>
            <w:r w:rsidRPr="00C647DE">
              <w:rPr>
                <w:rFonts w:ascii="Times New Roman" w:hAnsi="Times New Roman"/>
              </w:rPr>
              <w:t>о-</w:t>
            </w:r>
            <w:proofErr w:type="gramEnd"/>
            <w:r w:rsidRPr="00C647DE">
              <w:rPr>
                <w:rFonts w:ascii="Times New Roman" w:hAnsi="Times New Roman"/>
              </w:rPr>
              <w:t>, газо- и водоснабжения, водоотведения, связи, нефтепроводов федерального, регионального или местного значения справка уполном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ченного органа об отнесении объекта к об</w:t>
            </w:r>
            <w:r w:rsidRPr="00C647DE">
              <w:rPr>
                <w:rFonts w:ascii="Times New Roman" w:hAnsi="Times New Roman"/>
              </w:rPr>
              <w:t>ъ</w:t>
            </w:r>
            <w:r w:rsidRPr="00C647DE">
              <w:rPr>
                <w:rFonts w:ascii="Times New Roman" w:hAnsi="Times New Roman"/>
              </w:rPr>
              <w:t>ектам регионального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ставлении земельного участка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решение Воронежской области о создании 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ральной службы государственной </w:t>
            </w:r>
            <w:r w:rsidRPr="00C647DE">
              <w:rPr>
                <w:rFonts w:ascii="Times New Roman" w:hAnsi="Times New Roman"/>
              </w:rPr>
              <w:lastRenderedPageBreak/>
              <w:t>регистрации,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C647DE">
              <w:rPr>
                <w:rFonts w:ascii="Times New Roman" w:hAnsi="Times New Roman"/>
                <w:b/>
              </w:rPr>
              <w:t>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C647DE">
              <w:rPr>
                <w:rFonts w:ascii="Times New Roman" w:hAnsi="Times New Roman"/>
                <w:b/>
              </w:rPr>
              <w:t>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C647DE">
              <w:rPr>
                <w:rFonts w:ascii="Times New Roman" w:hAnsi="Times New Roman"/>
                <w:b/>
              </w:rPr>
              <w:t>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</w:t>
            </w:r>
            <w:proofErr w:type="gramEnd"/>
            <w:r w:rsidRPr="00C647D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явл</w:t>
            </w:r>
            <w:r w:rsidR="00FC3C26" w:rsidRPr="00C647DE">
              <w:rPr>
                <w:rFonts w:ascii="Times New Roman" w:hAnsi="Times New Roman"/>
                <w:b/>
              </w:rPr>
              <w:t>я</w:t>
            </w:r>
            <w:r w:rsidR="00FC3C26" w:rsidRPr="00C647DE">
              <w:rPr>
                <w:rFonts w:ascii="Times New Roman" w:hAnsi="Times New Roman"/>
                <w:b/>
              </w:rPr>
              <w:t>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явл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C647DE">
              <w:rPr>
                <w:rFonts w:ascii="Times New Roman" w:hAnsi="Times New Roman"/>
                <w:b/>
              </w:rPr>
              <w:t>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</w:t>
            </w:r>
            <w:proofErr w:type="gramEnd"/>
            <w:r w:rsidRPr="00C647DE">
              <w:rPr>
                <w:rFonts w:ascii="Times New Roman" w:hAnsi="Times New Roman"/>
                <w:b/>
              </w:rPr>
              <w:t xml:space="preserve">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предоставления земел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ствует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уполномоченный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необходимые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  <w:proofErr w:type="gramEnd"/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lastRenderedPageBreak/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 xml:space="preserve">специалист, ответственный за рассмотрение заявления, проверяет наличие или отсутствие основания для </w:t>
            </w:r>
            <w:proofErr w:type="gramStart"/>
            <w:r w:rsidRPr="00C647DE">
              <w:rPr>
                <w:rFonts w:ascii="Times New Roman" w:hAnsi="Times New Roman"/>
              </w:rPr>
              <w:t>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</w:t>
            </w:r>
            <w:proofErr w:type="gramEnd"/>
            <w:r w:rsidRPr="00C647DE">
              <w:rPr>
                <w:rFonts w:ascii="Times New Roman" w:hAnsi="Times New Roman"/>
              </w:rPr>
              <w:t xml:space="preserve">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  <w:proofErr w:type="gramEnd"/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кадастра и картографии» по Воронежской о</w:t>
            </w:r>
            <w:r w:rsidRPr="00C647DE">
              <w:rPr>
                <w:rFonts w:ascii="Times New Roman" w:hAnsi="Times New Roman"/>
              </w:rPr>
              <w:t>б</w:t>
            </w:r>
            <w:r w:rsidRPr="00C647DE">
              <w:rPr>
                <w:rFonts w:ascii="Times New Roman" w:hAnsi="Times New Roman"/>
              </w:rPr>
              <w:t>ласти - кадастровую выписку о земельном участке, 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дастровый паспорт здания, сооружения, помещения в здании, сооружении, расположенном на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</w:t>
            </w:r>
            <w:proofErr w:type="gramEnd"/>
            <w:r w:rsidRPr="00C647DE">
              <w:rPr>
                <w:rFonts w:ascii="Times New Roman" w:hAnsi="Times New Roman"/>
              </w:rPr>
              <w:t xml:space="preserve">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 xml:space="preserve">ственного взаимодействия 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C647DE">
              <w:rPr>
                <w:rFonts w:ascii="Times New Roman" w:hAnsi="Times New Roman"/>
              </w:rPr>
              <w:t xml:space="preserve">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 xml:space="preserve">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утверждается главой администрации (поселения) в 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</w:t>
            </w:r>
            <w:proofErr w:type="gramEnd"/>
            <w:r w:rsidRPr="00C647DE">
              <w:rPr>
                <w:rFonts w:ascii="Times New Roman" w:hAnsi="Times New Roman"/>
              </w:rPr>
              <w:t xml:space="preserve">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участка, направленному заявителю, является схема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положения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</w:t>
            </w:r>
            <w:r w:rsidRPr="00762451">
              <w:rPr>
                <w:rFonts w:ascii="Times New Roman" w:hAnsi="Times New Roman"/>
                <w:b/>
              </w:rPr>
              <w:t>е</w:t>
            </w:r>
            <w:r w:rsidRPr="00762451">
              <w:rPr>
                <w:rFonts w:ascii="Times New Roman" w:hAnsi="Times New Roman"/>
                <w:b/>
              </w:rPr>
              <w:t>стьянским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ства, для осуществления крестьянским (фермерским) хозяйством его деятельности в порядке, установленном для опубликования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пальных правовых актов уставом ____ поселения по месту нахождения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 размещению извещения на официальном сайте администрации в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формационно-телекоммуникационной сети Интернет (для </w:t>
            </w:r>
            <w:proofErr w:type="spellStart"/>
            <w:r w:rsidRPr="00C647DE">
              <w:rPr>
                <w:rFonts w:ascii="Times New Roman" w:hAnsi="Times New Roman"/>
              </w:rPr>
              <w:t>подуслуги</w:t>
            </w:r>
            <w:proofErr w:type="spellEnd"/>
            <w:r w:rsidRPr="00C647DE">
              <w:rPr>
                <w:rFonts w:ascii="Times New Roman" w:hAnsi="Times New Roman"/>
              </w:rPr>
              <w:t xml:space="preserve"> 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в информационно-телекоммуникационной</w:t>
            </w:r>
            <w:proofErr w:type="gramEnd"/>
            <w:r w:rsidRPr="00C647DE">
              <w:rPr>
                <w:rFonts w:ascii="Times New Roman" w:hAnsi="Times New Roman"/>
              </w:rPr>
              <w:t xml:space="preserve">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Par2"/>
            <w:bookmarkEnd w:id="2"/>
            <w:proofErr w:type="gramStart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</w:t>
            </w:r>
            <w:proofErr w:type="gramEnd"/>
            <w:r w:rsidRPr="00C647DE">
              <w:rPr>
                <w:rFonts w:ascii="Times New Roman" w:hAnsi="Times New Roman"/>
              </w:rPr>
              <w:t xml:space="preserve">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участвовать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испрашив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ния земельного участка, если подано заявление о </w:t>
            </w:r>
            <w:r w:rsidRPr="00C647DE">
              <w:rPr>
                <w:rFonts w:ascii="Times New Roman" w:hAnsi="Times New Roman"/>
              </w:rPr>
              <w:lastRenderedPageBreak/>
              <w:t>предоставлении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ствии с которой предстоит образовать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сток, если данная схема представлена на бумажном 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</w:t>
            </w:r>
            <w:proofErr w:type="gramStart"/>
            <w:r w:rsidRPr="00C647DE">
              <w:rPr>
                <w:rFonts w:ascii="Times New Roman" w:hAnsi="Times New Roman"/>
              </w:rPr>
              <w:t>,</w:t>
            </w:r>
            <w:proofErr w:type="gramEnd"/>
            <w:r w:rsidRPr="00C647DE">
              <w:rPr>
                <w:rFonts w:ascii="Times New Roman" w:hAnsi="Times New Roman"/>
              </w:rPr>
      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ния извещения не поступили заявления иных граждан, крестьянских (фермерских) хозяйств о намерении участвовать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заявления,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рительном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жат уточнению в соответствии с Федеральным законом «О государственном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C647DE">
              <w:rPr>
                <w:rFonts w:ascii="Times New Roman" w:eastAsia="Calibri" w:hAnsi="Times New Roman"/>
                <w:lang w:eastAsia="en-US"/>
              </w:rPr>
              <w:t>кадастре</w:t>
            </w:r>
            <w:proofErr w:type="gramEnd"/>
            <w:r w:rsidRPr="00C647DE">
              <w:rPr>
                <w:rFonts w:ascii="Times New Roman" w:eastAsia="Calibri" w:hAnsi="Times New Roman"/>
                <w:lang w:eastAsia="en-US"/>
              </w:rPr>
              <w:t xml:space="preserve">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товке проекта постановления администрации об отказе в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</w:t>
            </w:r>
            <w:proofErr w:type="gramStart"/>
            <w:r w:rsidRPr="00C647DE">
              <w:rPr>
                <w:rFonts w:ascii="Times New Roman" w:hAnsi="Times New Roman"/>
              </w:rPr>
              <w:t>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непосредственно при личном обращении, либо напра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ляются заявителю в виде бумажного документа,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почтового отправления,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размещенного на официальном сайте администрации, ссылка на который направляется</w:t>
            </w:r>
            <w:proofErr w:type="gramEnd"/>
            <w:r w:rsidRPr="00C647DE">
              <w:rPr>
                <w:rFonts w:ascii="Times New Roman" w:hAnsi="Times New Roman"/>
              </w:rPr>
              <w:t xml:space="preserve"> заявителю посредством электронной почты, либо в виде электронного документа, который направляется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C5406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C54063">
              <w:rPr>
                <w:rFonts w:ascii="Times New Roman" w:hAnsi="Times New Roman"/>
                <w:b/>
              </w:rPr>
              <w:t>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Через </w:t>
            </w:r>
            <w:proofErr w:type="gramStart"/>
            <w:r>
              <w:rPr>
                <w:rFonts w:ascii="Times New Roman" w:hAnsi="Times New Roman"/>
              </w:rPr>
              <w:t>экран-</w:t>
            </w:r>
            <w:proofErr w:type="spellStart"/>
            <w:r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лем документов на бумажном носителе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</w:t>
            </w:r>
            <w:proofErr w:type="gramEnd"/>
            <w:r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BC" w:rsidRDefault="006509BC" w:rsidP="00F847AF">
      <w:pPr>
        <w:spacing w:after="0" w:line="240" w:lineRule="auto"/>
      </w:pPr>
      <w:r>
        <w:separator/>
      </w:r>
    </w:p>
  </w:endnote>
  <w:endnote w:type="continuationSeparator" w:id="0">
    <w:p w:rsidR="006509BC" w:rsidRDefault="006509B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BC" w:rsidRDefault="006509BC" w:rsidP="00F847AF">
      <w:pPr>
        <w:spacing w:after="0" w:line="240" w:lineRule="auto"/>
      </w:pPr>
      <w:r>
        <w:separator/>
      </w:r>
    </w:p>
  </w:footnote>
  <w:footnote w:type="continuationSeparator" w:id="0">
    <w:p w:rsidR="006509BC" w:rsidRDefault="006509BC" w:rsidP="00F847AF">
      <w:pPr>
        <w:spacing w:after="0" w:line="240" w:lineRule="auto"/>
      </w:pPr>
      <w:r>
        <w:continuationSeparator/>
      </w:r>
    </w:p>
  </w:footnote>
  <w:footnote w:id="1">
    <w:p w:rsidR="00762451" w:rsidRDefault="00762451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762451" w:rsidRDefault="00762451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762451" w:rsidRDefault="00762451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762451" w:rsidRDefault="00762451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762451" w:rsidRDefault="00762451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5F9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09BC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5C6AEE570A907A1A662B4E3F5790FB6647759B70E5A88EB97A26E32825B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AEF4-50C2-4F22-8493-D53DBAAD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7132</Words>
  <Characters>40656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47693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работа</cp:lastModifiedBy>
  <cp:revision>2</cp:revision>
  <dcterms:created xsi:type="dcterms:W3CDTF">2016-12-13T06:38:00Z</dcterms:created>
  <dcterms:modified xsi:type="dcterms:W3CDTF">2016-12-13T06:38:00Z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